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64" w:rsidRPr="00F636EE" w:rsidRDefault="00B50664" w:rsidP="00C01C49">
      <w:pPr>
        <w:jc w:val="center"/>
        <w:rPr>
          <w:rFonts w:cs="Calibri"/>
          <w:b/>
        </w:rPr>
      </w:pPr>
      <w:r w:rsidRPr="00F636EE">
        <w:rPr>
          <w:rFonts w:cs="Calibri"/>
          <w:b/>
        </w:rPr>
        <w:t xml:space="preserve">Comments of the Natural Resources Defense Council (NRDC) on </w:t>
      </w:r>
      <w:r w:rsidR="00C359F1" w:rsidRPr="00C359F1">
        <w:rPr>
          <w:rFonts w:cs="Calibri"/>
          <w:b/>
        </w:rPr>
        <w:t>Energy Efficiency Potential and Goals Study for 2018 Draft BROs Appendix</w:t>
      </w:r>
    </w:p>
    <w:p w:rsidR="00B50664" w:rsidRPr="008F43C6" w:rsidRDefault="005352F7" w:rsidP="002F2CA1">
      <w:pPr>
        <w:spacing w:after="0"/>
        <w:jc w:val="center"/>
        <w:rPr>
          <w:rFonts w:cs="Calibri"/>
        </w:rPr>
      </w:pPr>
      <w:r>
        <w:rPr>
          <w:rFonts w:cs="Calibri"/>
        </w:rPr>
        <w:t>May</w:t>
      </w:r>
      <w:r w:rsidR="00D556E9">
        <w:rPr>
          <w:rFonts w:cs="Calibri"/>
        </w:rPr>
        <w:t xml:space="preserve"> </w:t>
      </w:r>
      <w:r>
        <w:rPr>
          <w:rFonts w:cs="Calibri"/>
        </w:rPr>
        <w:t>1</w:t>
      </w:r>
      <w:r w:rsidRPr="005352F7">
        <w:rPr>
          <w:rFonts w:cs="Calibri"/>
          <w:vertAlign w:val="superscript"/>
        </w:rPr>
        <w:t>st</w:t>
      </w:r>
      <w:r w:rsidR="00D556E9">
        <w:rPr>
          <w:rFonts w:cs="Calibri"/>
        </w:rPr>
        <w:t>, 2017</w:t>
      </w:r>
    </w:p>
    <w:p w:rsidR="00B50664" w:rsidRPr="008F43C6" w:rsidRDefault="00B50664" w:rsidP="002F2CA1">
      <w:pPr>
        <w:pBdr>
          <w:bottom w:val="single" w:sz="4" w:space="1" w:color="auto"/>
        </w:pBdr>
        <w:spacing w:after="0"/>
        <w:jc w:val="center"/>
        <w:rPr>
          <w:rFonts w:cs="Calibri"/>
        </w:rPr>
      </w:pPr>
      <w:r w:rsidRPr="008F43C6">
        <w:rPr>
          <w:rFonts w:cs="Calibri"/>
        </w:rPr>
        <w:t xml:space="preserve">Submitted by: </w:t>
      </w:r>
      <w:r w:rsidR="00D556E9">
        <w:rPr>
          <w:rFonts w:cs="Calibri"/>
        </w:rPr>
        <w:t>Mohit Chhabra, Natural Resources Defense Council</w:t>
      </w:r>
    </w:p>
    <w:p w:rsidR="00B50664" w:rsidRPr="008F43C6" w:rsidRDefault="00D556E9" w:rsidP="002F2CA1">
      <w:pPr>
        <w:pBdr>
          <w:bottom w:val="single" w:sz="4" w:space="1" w:color="auto"/>
        </w:pBdr>
        <w:spacing w:after="0"/>
        <w:jc w:val="center"/>
        <w:rPr>
          <w:rFonts w:cs="Calibri"/>
        </w:rPr>
      </w:pPr>
      <w:r>
        <w:rPr>
          <w:rFonts w:cs="Calibri"/>
        </w:rPr>
        <w:t>mchhabra</w:t>
      </w:r>
      <w:r w:rsidR="00B50664" w:rsidRPr="008F43C6">
        <w:rPr>
          <w:rFonts w:cs="Calibri"/>
        </w:rPr>
        <w:t>@nrdc.org</w:t>
      </w:r>
    </w:p>
    <w:p w:rsidR="00933E18" w:rsidRPr="00933E18" w:rsidRDefault="00933E18" w:rsidP="00933E18">
      <w:pPr>
        <w:autoSpaceDE w:val="0"/>
        <w:autoSpaceDN w:val="0"/>
        <w:adjustRightInd w:val="0"/>
        <w:spacing w:before="120" w:after="0" w:line="240" w:lineRule="auto"/>
        <w:ind w:left="-360"/>
        <w:rPr>
          <w:rFonts w:cs="Calibri"/>
          <w:sz w:val="12"/>
          <w:szCs w:val="12"/>
        </w:rPr>
      </w:pPr>
    </w:p>
    <w:p w:rsidR="00B50664" w:rsidRDefault="00B50664" w:rsidP="00B72325">
      <w:pPr>
        <w:autoSpaceDE w:val="0"/>
        <w:autoSpaceDN w:val="0"/>
        <w:adjustRightInd w:val="0"/>
        <w:spacing w:before="120" w:after="0" w:line="240" w:lineRule="auto"/>
        <w:ind w:left="-360"/>
        <w:rPr>
          <w:rFonts w:cs="Calibri"/>
        </w:rPr>
      </w:pPr>
      <w:r w:rsidRPr="008F43C6">
        <w:rPr>
          <w:rFonts w:cs="Calibri"/>
        </w:rPr>
        <w:t xml:space="preserve">The Natural </w:t>
      </w:r>
      <w:r w:rsidRPr="00B02BA9">
        <w:rPr>
          <w:rFonts w:cs="Calibri"/>
        </w:rPr>
        <w:t>Resources Defense Council (NRDC) appreciates the opportunity to offer these comments on the California Public Utilities Commission’s (CPUC) energy efficiency goals, potential</w:t>
      </w:r>
      <w:r w:rsidR="00317AB0" w:rsidRPr="00B02BA9">
        <w:rPr>
          <w:rFonts w:cs="Calibri"/>
        </w:rPr>
        <w:t>,</w:t>
      </w:r>
      <w:r w:rsidRPr="00B02BA9">
        <w:rPr>
          <w:rFonts w:cs="Calibri"/>
        </w:rPr>
        <w:t xml:space="preserve"> and targets </w:t>
      </w:r>
      <w:r w:rsidR="00B72325">
        <w:rPr>
          <w:rFonts w:cs="Calibri"/>
        </w:rPr>
        <w:t xml:space="preserve">draft </w:t>
      </w:r>
      <w:r w:rsidR="00B02BA9" w:rsidRPr="00B02BA9">
        <w:rPr>
          <w:rFonts w:cs="Calibri"/>
        </w:rPr>
        <w:t xml:space="preserve">Behavioral, </w:t>
      </w:r>
      <w:proofErr w:type="spellStart"/>
      <w:r w:rsidR="00B02BA9" w:rsidRPr="00B02BA9">
        <w:rPr>
          <w:rFonts w:cs="Calibri"/>
        </w:rPr>
        <w:t>Retrocommissioning</w:t>
      </w:r>
      <w:proofErr w:type="spellEnd"/>
      <w:r w:rsidR="00B02BA9" w:rsidRPr="00B02BA9">
        <w:rPr>
          <w:rFonts w:cs="Calibri"/>
        </w:rPr>
        <w:t>, and Operational</w:t>
      </w:r>
      <w:r w:rsidR="00030445">
        <w:rPr>
          <w:rFonts w:cs="Calibri"/>
        </w:rPr>
        <w:t xml:space="preserve"> </w:t>
      </w:r>
      <w:r w:rsidR="00B72325">
        <w:rPr>
          <w:rFonts w:cs="Calibri"/>
        </w:rPr>
        <w:t>m</w:t>
      </w:r>
      <w:r w:rsidR="00B02BA9" w:rsidRPr="00B02BA9">
        <w:rPr>
          <w:rFonts w:cs="Calibri"/>
        </w:rPr>
        <w:t xml:space="preserve">easures (BROs) </w:t>
      </w:r>
      <w:r w:rsidR="00B72325">
        <w:rPr>
          <w:rFonts w:cs="Calibri"/>
        </w:rPr>
        <w:t xml:space="preserve">appendix </w:t>
      </w:r>
      <w:r w:rsidRPr="00B02BA9">
        <w:rPr>
          <w:rFonts w:cs="Calibri"/>
        </w:rPr>
        <w:t>prepared by Navigant. NRDC is a non-profit membership organization with a long-standing interest in minimizing the societal costs of the reliable energy services that Californians demand</w:t>
      </w:r>
      <w:r w:rsidRPr="008F43C6">
        <w:rPr>
          <w:rFonts w:cs="Calibri"/>
        </w:rPr>
        <w:t xml:space="preserve">. We focus on representing our </w:t>
      </w:r>
      <w:r w:rsidR="00B72325">
        <w:rPr>
          <w:rFonts w:cs="Calibri"/>
        </w:rPr>
        <w:t>approximately</w:t>
      </w:r>
      <w:r w:rsidR="00317AB0">
        <w:rPr>
          <w:rFonts w:cs="Calibri"/>
        </w:rPr>
        <w:t xml:space="preserve"> </w:t>
      </w:r>
      <w:r w:rsidR="008F24AC">
        <w:rPr>
          <w:rFonts w:cs="Calibri"/>
        </w:rPr>
        <w:t>8</w:t>
      </w:r>
      <w:r w:rsidR="00B72325">
        <w:rPr>
          <w:rFonts w:cs="Calibri"/>
        </w:rPr>
        <w:t>0,</w:t>
      </w:r>
      <w:r w:rsidRPr="008F43C6">
        <w:rPr>
          <w:rFonts w:cs="Calibri"/>
        </w:rPr>
        <w:t>000 C</w:t>
      </w:r>
      <w:bookmarkStart w:id="0" w:name="_GoBack"/>
      <w:bookmarkEnd w:id="0"/>
      <w:r w:rsidRPr="008F43C6">
        <w:rPr>
          <w:rFonts w:cs="Calibri"/>
        </w:rPr>
        <w:t>alifornia members’ interest in receiving affordable energy services and reducing the environmental impact of Ca</w:t>
      </w:r>
      <w:r w:rsidR="00B72325">
        <w:rPr>
          <w:rFonts w:cs="Calibri"/>
        </w:rPr>
        <w:t>lifornia’s energy consumption.</w:t>
      </w:r>
    </w:p>
    <w:p w:rsidR="001A2ABE" w:rsidRDefault="00B373F1" w:rsidP="001A2ABE">
      <w:pPr>
        <w:autoSpaceDE w:val="0"/>
        <w:autoSpaceDN w:val="0"/>
        <w:adjustRightInd w:val="0"/>
        <w:spacing w:before="80" w:after="80"/>
        <w:ind w:left="-360"/>
        <w:rPr>
          <w:rFonts w:cs="Calibri"/>
        </w:rPr>
      </w:pPr>
      <w:r>
        <w:rPr>
          <w:rFonts w:cs="Calibri"/>
        </w:rPr>
        <w:t>NRDC appreciates the work done by all involved in developing th</w:t>
      </w:r>
      <w:r w:rsidRPr="00B02BA9">
        <w:rPr>
          <w:rFonts w:cs="Calibri"/>
        </w:rPr>
        <w:t xml:space="preserve">is </w:t>
      </w:r>
      <w:r w:rsidR="00C07934">
        <w:rPr>
          <w:rFonts w:cs="Calibri"/>
        </w:rPr>
        <w:t>Appendix</w:t>
      </w:r>
      <w:r w:rsidRPr="00B02BA9">
        <w:rPr>
          <w:rFonts w:cs="Calibri"/>
        </w:rPr>
        <w:t xml:space="preserve"> and recognize the </w:t>
      </w:r>
      <w:r w:rsidR="006B29D7" w:rsidRPr="00B02BA9">
        <w:rPr>
          <w:rFonts w:cs="Calibri"/>
        </w:rPr>
        <w:t xml:space="preserve">constraints </w:t>
      </w:r>
      <w:r w:rsidR="00C07934">
        <w:rPr>
          <w:rFonts w:cs="Calibri"/>
        </w:rPr>
        <w:t xml:space="preserve">of this study. </w:t>
      </w:r>
      <w:r w:rsidR="00092A2A" w:rsidRPr="00B02BA9">
        <w:rPr>
          <w:rFonts w:cs="Calibri"/>
        </w:rPr>
        <w:t xml:space="preserve">We offer the following </w:t>
      </w:r>
      <w:r w:rsidR="00705898">
        <w:rPr>
          <w:rFonts w:cs="Calibri"/>
        </w:rPr>
        <w:t xml:space="preserve">actionable feedback and </w:t>
      </w:r>
      <w:r w:rsidR="00B50664" w:rsidRPr="00B02BA9">
        <w:rPr>
          <w:rFonts w:cs="Calibri"/>
        </w:rPr>
        <w:t xml:space="preserve">comments </w:t>
      </w:r>
      <w:r w:rsidR="00B02BA9" w:rsidRPr="00B02BA9">
        <w:rPr>
          <w:rFonts w:cs="Calibri"/>
        </w:rPr>
        <w:t>to improve the accuracy of the study</w:t>
      </w:r>
      <w:r w:rsidR="00B50664" w:rsidRPr="00A44DA6">
        <w:rPr>
          <w:rFonts w:cs="Calibri"/>
        </w:rPr>
        <w:t>:</w:t>
      </w:r>
    </w:p>
    <w:p w:rsidR="00B50664" w:rsidRPr="00B34C34" w:rsidRDefault="007A37DD" w:rsidP="00933E1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rPr>
          <w:rFonts w:cs="Calibri"/>
          <w:b/>
        </w:rPr>
      </w:pPr>
      <w:r w:rsidRPr="007A37DD">
        <w:rPr>
          <w:rFonts w:cs="Calibri"/>
          <w:b/>
        </w:rPr>
        <w:t>A Commendable Effort to Explore Technical Potential</w:t>
      </w:r>
      <w:r>
        <w:rPr>
          <w:rFonts w:cs="Calibri"/>
        </w:rPr>
        <w:t xml:space="preserve">: </w:t>
      </w:r>
      <w:r w:rsidR="00B34C34" w:rsidRPr="00B34C34">
        <w:rPr>
          <w:rFonts w:cs="Calibri"/>
        </w:rPr>
        <w:t>NRDC supports the CPUC</w:t>
      </w:r>
      <w:r w:rsidR="00B34C34">
        <w:rPr>
          <w:rFonts w:cs="Calibri"/>
        </w:rPr>
        <w:t xml:space="preserve"> </w:t>
      </w:r>
      <w:r>
        <w:rPr>
          <w:rFonts w:cs="Calibri"/>
        </w:rPr>
        <w:t xml:space="preserve">and Navigant </w:t>
      </w:r>
      <w:r w:rsidR="00B34C34">
        <w:rPr>
          <w:rFonts w:cs="Calibri"/>
        </w:rPr>
        <w:t xml:space="preserve">team’s effort to cast a </w:t>
      </w:r>
      <w:r>
        <w:rPr>
          <w:rFonts w:cs="Calibri"/>
        </w:rPr>
        <w:t>“</w:t>
      </w:r>
      <w:r w:rsidR="00B34C34">
        <w:rPr>
          <w:rFonts w:cs="Calibri"/>
        </w:rPr>
        <w:t>wide net</w:t>
      </w:r>
      <w:r>
        <w:rPr>
          <w:rFonts w:cs="Calibri"/>
        </w:rPr>
        <w:t>”</w:t>
      </w:r>
      <w:r w:rsidR="00B34C34">
        <w:rPr>
          <w:rFonts w:cs="Calibri"/>
        </w:rPr>
        <w:t xml:space="preserve"> </w:t>
      </w:r>
      <w:r>
        <w:rPr>
          <w:rFonts w:cs="Calibri"/>
        </w:rPr>
        <w:t xml:space="preserve">in an effort </w:t>
      </w:r>
      <w:r w:rsidR="00B34C34">
        <w:rPr>
          <w:rFonts w:cs="Calibri"/>
        </w:rPr>
        <w:t xml:space="preserve">to develop an </w:t>
      </w:r>
      <w:r>
        <w:rPr>
          <w:rFonts w:cs="Calibri"/>
        </w:rPr>
        <w:t xml:space="preserve">accurate </w:t>
      </w:r>
      <w:r w:rsidR="00B34C34">
        <w:rPr>
          <w:rFonts w:cs="Calibri"/>
        </w:rPr>
        <w:t>estimate of available technical potential</w:t>
      </w:r>
      <w:r w:rsidR="00B72325">
        <w:rPr>
          <w:rFonts w:cs="Calibri"/>
        </w:rPr>
        <w:t xml:space="preserve"> energy savings</w:t>
      </w:r>
      <w:r w:rsidR="00B50664" w:rsidRPr="00B34C34">
        <w:rPr>
          <w:rFonts w:cs="Calibri"/>
        </w:rPr>
        <w:t>.</w:t>
      </w:r>
      <w:r w:rsidR="00B34C34">
        <w:rPr>
          <w:rFonts w:cs="Calibri"/>
        </w:rPr>
        <w:t xml:space="preserve"> This </w:t>
      </w:r>
      <w:r>
        <w:rPr>
          <w:rFonts w:cs="Calibri"/>
        </w:rPr>
        <w:t xml:space="preserve">analysis </w:t>
      </w:r>
      <w:r w:rsidR="00B34C34">
        <w:rPr>
          <w:rFonts w:cs="Calibri"/>
        </w:rPr>
        <w:t>is in line with Senate Bill 350’s intent</w:t>
      </w:r>
      <w:r>
        <w:rPr>
          <w:rFonts w:cs="Calibri"/>
        </w:rPr>
        <w:t xml:space="preserve"> of doubling energy efficiency.</w:t>
      </w:r>
      <w:r w:rsidR="00B34C34">
        <w:rPr>
          <w:rFonts w:cs="Calibri"/>
        </w:rPr>
        <w:t xml:space="preserve"> </w:t>
      </w:r>
      <w:r w:rsidR="00B34C34" w:rsidRPr="00A1790B">
        <w:rPr>
          <w:rFonts w:cs="Calibri"/>
          <w:u w:val="single"/>
        </w:rPr>
        <w:t xml:space="preserve">NRDC urges the authors of the study to </w:t>
      </w:r>
      <w:r w:rsidRPr="00A1790B">
        <w:rPr>
          <w:rFonts w:cs="Calibri"/>
          <w:u w:val="single"/>
        </w:rPr>
        <w:t xml:space="preserve">follow this analysis with </w:t>
      </w:r>
      <w:r w:rsidR="00B34C34" w:rsidRPr="00A1790B">
        <w:rPr>
          <w:rFonts w:cs="Calibri"/>
          <w:u w:val="single"/>
        </w:rPr>
        <w:t xml:space="preserve">scenarios for achievable potential that </w:t>
      </w:r>
      <w:r w:rsidRPr="00A1790B">
        <w:rPr>
          <w:rFonts w:cs="Calibri"/>
          <w:u w:val="single"/>
        </w:rPr>
        <w:t xml:space="preserve">also </w:t>
      </w:r>
      <w:r w:rsidR="00B34C34" w:rsidRPr="00A1790B">
        <w:rPr>
          <w:rFonts w:cs="Calibri"/>
          <w:u w:val="single"/>
        </w:rPr>
        <w:t>encapsulate SB3 350’s intent of doubling energy efficiency through 2030</w:t>
      </w:r>
      <w:r w:rsidR="00B34C34">
        <w:rPr>
          <w:rFonts w:cs="Calibri"/>
        </w:rPr>
        <w:t>.</w:t>
      </w:r>
      <w:r>
        <w:rPr>
          <w:rFonts w:cs="Calibri"/>
        </w:rPr>
        <w:t xml:space="preserve"> One possible way this may be accomplished is by modifying parameters that impact the measure level Bass Diffusion Curves to account for </w:t>
      </w:r>
      <w:r w:rsidR="00B72325">
        <w:rPr>
          <w:rFonts w:cs="Calibri"/>
        </w:rPr>
        <w:t>the</w:t>
      </w:r>
      <w:r>
        <w:rPr>
          <w:rFonts w:cs="Calibri"/>
        </w:rPr>
        <w:t xml:space="preserve"> legislative mandate to do</w:t>
      </w:r>
      <w:r w:rsidR="00A1790B">
        <w:rPr>
          <w:rFonts w:cs="Calibri"/>
        </w:rPr>
        <w:t>uble energy efficiency savings.</w:t>
      </w:r>
    </w:p>
    <w:p w:rsidR="00B50664" w:rsidRPr="00B34C34" w:rsidRDefault="007A37DD" w:rsidP="00B34C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rPr>
          <w:rFonts w:cs="Calibri"/>
          <w:b/>
        </w:rPr>
      </w:pPr>
      <w:r w:rsidRPr="007A37DD">
        <w:rPr>
          <w:rFonts w:cs="Calibri"/>
          <w:b/>
        </w:rPr>
        <w:t>Clarify State of Measure Knowledge</w:t>
      </w:r>
      <w:r>
        <w:rPr>
          <w:rFonts w:cs="Calibri"/>
        </w:rPr>
        <w:t xml:space="preserve">: </w:t>
      </w:r>
      <w:r w:rsidR="00B34C34">
        <w:rPr>
          <w:rFonts w:cs="Calibri"/>
        </w:rPr>
        <w:t xml:space="preserve">The measures presented in the </w:t>
      </w:r>
      <w:r w:rsidR="00DC3D85">
        <w:rPr>
          <w:rFonts w:cs="Calibri"/>
        </w:rPr>
        <w:t>Draft BROs Appendix</w:t>
      </w:r>
      <w:r w:rsidR="00DC3D85">
        <w:rPr>
          <w:rStyle w:val="FootnoteReference"/>
        </w:rPr>
        <w:footnoteReference w:id="1"/>
      </w:r>
      <w:r w:rsidR="00DC3D85">
        <w:rPr>
          <w:rFonts w:cs="Calibri"/>
        </w:rPr>
        <w:t xml:space="preserve"> </w:t>
      </w:r>
      <w:r w:rsidR="00B34C34">
        <w:rPr>
          <w:rFonts w:cs="Calibri"/>
        </w:rPr>
        <w:t xml:space="preserve">include </w:t>
      </w:r>
      <w:r w:rsidR="00B72325">
        <w:rPr>
          <w:rFonts w:cs="Calibri"/>
        </w:rPr>
        <w:t>both extensively evaluated</w:t>
      </w:r>
      <w:r w:rsidR="00DC3D85">
        <w:rPr>
          <w:rFonts w:cs="Calibri"/>
        </w:rPr>
        <w:t xml:space="preserve"> (</w:t>
      </w:r>
      <w:r w:rsidR="001F1DB4">
        <w:rPr>
          <w:rFonts w:cs="Calibri"/>
        </w:rPr>
        <w:t xml:space="preserve">e.g., </w:t>
      </w:r>
      <w:r w:rsidR="00DC3D85">
        <w:rPr>
          <w:rFonts w:cs="Calibri"/>
        </w:rPr>
        <w:t>Home Energy Reports)</w:t>
      </w:r>
      <w:r w:rsidR="00B34C34">
        <w:rPr>
          <w:rFonts w:cs="Calibri"/>
        </w:rPr>
        <w:t xml:space="preserve"> and </w:t>
      </w:r>
      <w:r w:rsidR="00DC3D85">
        <w:rPr>
          <w:rFonts w:cs="Calibri"/>
        </w:rPr>
        <w:t>newer</w:t>
      </w:r>
      <w:r w:rsidR="00B34C34">
        <w:rPr>
          <w:rFonts w:cs="Calibri"/>
        </w:rPr>
        <w:t xml:space="preserve"> emerging measures</w:t>
      </w:r>
      <w:r w:rsidR="00DC3D85">
        <w:rPr>
          <w:rFonts w:cs="Calibri"/>
        </w:rPr>
        <w:t xml:space="preserve"> (</w:t>
      </w:r>
      <w:r w:rsidR="001F1DB4">
        <w:rPr>
          <w:rFonts w:cs="Calibri"/>
        </w:rPr>
        <w:t xml:space="preserve">e.g., </w:t>
      </w:r>
      <w:r w:rsidR="00DC3D85">
        <w:rPr>
          <w:rFonts w:cs="Calibri"/>
        </w:rPr>
        <w:t>Residential and Commercial Competition</w:t>
      </w:r>
      <w:r w:rsidR="001F1DB4">
        <w:rPr>
          <w:rFonts w:cs="Calibri"/>
        </w:rPr>
        <w:t>s</w:t>
      </w:r>
      <w:r w:rsidR="00DC3D85">
        <w:rPr>
          <w:rFonts w:cs="Calibri"/>
        </w:rPr>
        <w:t>)</w:t>
      </w:r>
      <w:r w:rsidR="00B34C34">
        <w:rPr>
          <w:rFonts w:cs="Calibri"/>
        </w:rPr>
        <w:t xml:space="preserve">. </w:t>
      </w:r>
      <w:r w:rsidR="00DC3D85">
        <w:rPr>
          <w:rFonts w:cs="Calibri"/>
        </w:rPr>
        <w:t xml:space="preserve">The newer measures </w:t>
      </w:r>
      <w:r w:rsidR="00B72325">
        <w:rPr>
          <w:rFonts w:cs="Calibri"/>
        </w:rPr>
        <w:t xml:space="preserve">included in the potential study </w:t>
      </w:r>
      <w:r w:rsidR="00DC3D85">
        <w:rPr>
          <w:rFonts w:cs="Calibri"/>
        </w:rPr>
        <w:t xml:space="preserve">have not </w:t>
      </w:r>
      <w:r w:rsidR="00B72325">
        <w:rPr>
          <w:rFonts w:cs="Calibri"/>
        </w:rPr>
        <w:t>(</w:t>
      </w:r>
      <w:r w:rsidR="001F1DB4">
        <w:rPr>
          <w:rFonts w:cs="Calibri"/>
        </w:rPr>
        <w:t>yet</w:t>
      </w:r>
      <w:r w:rsidR="00B72325">
        <w:rPr>
          <w:rFonts w:cs="Calibri"/>
        </w:rPr>
        <w:t>)</w:t>
      </w:r>
      <w:r w:rsidR="001F1DB4">
        <w:rPr>
          <w:rFonts w:cs="Calibri"/>
        </w:rPr>
        <w:t xml:space="preserve"> </w:t>
      </w:r>
      <w:r w:rsidR="00DC3D85">
        <w:rPr>
          <w:rFonts w:cs="Calibri"/>
        </w:rPr>
        <w:t xml:space="preserve">been evaluated with the same rigor as traditional energy efficiency program measures. This is to be expected in a potential study </w:t>
      </w:r>
      <w:r w:rsidR="00B34C34">
        <w:rPr>
          <w:rFonts w:cs="Calibri"/>
        </w:rPr>
        <w:t>that seeks to estimate available technical potential</w:t>
      </w:r>
      <w:r w:rsidR="00DC3D85">
        <w:rPr>
          <w:rFonts w:cs="Calibri"/>
        </w:rPr>
        <w:t xml:space="preserve"> beyond</w:t>
      </w:r>
      <w:r w:rsidR="001F1DB4">
        <w:rPr>
          <w:rFonts w:cs="Calibri"/>
        </w:rPr>
        <w:t xml:space="preserve"> current programmatic activity</w:t>
      </w:r>
      <w:r w:rsidR="00B34C34">
        <w:rPr>
          <w:rFonts w:cs="Calibri"/>
        </w:rPr>
        <w:t xml:space="preserve">. </w:t>
      </w:r>
      <w:r w:rsidR="00B72325">
        <w:rPr>
          <w:rFonts w:cs="Calibri"/>
        </w:rPr>
        <w:t>For transparency and clarity</w:t>
      </w:r>
      <w:r w:rsidR="00B34C34">
        <w:rPr>
          <w:rFonts w:cs="Calibri"/>
        </w:rPr>
        <w:t xml:space="preserve">, NRDC advises the study authors </w:t>
      </w:r>
      <w:r w:rsidR="00B72325">
        <w:rPr>
          <w:rFonts w:cs="Calibri"/>
        </w:rPr>
        <w:t xml:space="preserve">to clearly present the </w:t>
      </w:r>
      <w:r w:rsidR="00B34C34">
        <w:rPr>
          <w:rFonts w:cs="Calibri"/>
        </w:rPr>
        <w:t>state of knowledge of a measure’s properties</w:t>
      </w:r>
      <w:r w:rsidR="00DC3D85">
        <w:rPr>
          <w:rFonts w:cs="Calibri"/>
        </w:rPr>
        <w:t xml:space="preserve"> (savings, costs, etc.) that are input into the market potential model</w:t>
      </w:r>
      <w:r w:rsidR="00B34C34">
        <w:rPr>
          <w:rFonts w:cs="Calibri"/>
        </w:rPr>
        <w:t xml:space="preserve">. </w:t>
      </w:r>
      <w:r w:rsidR="007A2073">
        <w:rPr>
          <w:rFonts w:cs="Calibri"/>
        </w:rPr>
        <w:t>A</w:t>
      </w:r>
      <w:r w:rsidR="00DC3D85">
        <w:rPr>
          <w:rFonts w:cs="Calibri"/>
        </w:rPr>
        <w:t xml:space="preserve">n indication of the state of knowledge is </w:t>
      </w:r>
      <w:r w:rsidR="00B34C34">
        <w:rPr>
          <w:rFonts w:cs="Calibri"/>
        </w:rPr>
        <w:t>an important risk-assessment s</w:t>
      </w:r>
      <w:r w:rsidR="00DC3D85">
        <w:rPr>
          <w:rFonts w:cs="Calibri"/>
        </w:rPr>
        <w:t xml:space="preserve">ignal to </w:t>
      </w:r>
      <w:r w:rsidR="007A2073">
        <w:rPr>
          <w:rFonts w:cs="Calibri"/>
        </w:rPr>
        <w:t xml:space="preserve">stakeholders and </w:t>
      </w:r>
      <w:r w:rsidR="00DC3D85">
        <w:rPr>
          <w:rFonts w:cs="Calibri"/>
        </w:rPr>
        <w:t xml:space="preserve">program administrators. </w:t>
      </w:r>
      <w:r w:rsidR="007A2073">
        <w:rPr>
          <w:rFonts w:cs="Calibri"/>
        </w:rPr>
        <w:t>(For e.g.</w:t>
      </w:r>
      <w:r w:rsidR="00DC3D85">
        <w:rPr>
          <w:rFonts w:cs="Calibri"/>
        </w:rPr>
        <w:t>,</w:t>
      </w:r>
      <w:r w:rsidR="00B34C34">
        <w:rPr>
          <w:rFonts w:cs="Calibri"/>
        </w:rPr>
        <w:t xml:space="preserve"> although the</w:t>
      </w:r>
      <w:r w:rsidR="001F1DB4">
        <w:rPr>
          <w:rFonts w:cs="Calibri"/>
        </w:rPr>
        <w:t>se</w:t>
      </w:r>
      <w:r w:rsidR="00B34C34">
        <w:rPr>
          <w:rFonts w:cs="Calibri"/>
        </w:rPr>
        <w:t xml:space="preserve"> </w:t>
      </w:r>
      <w:r w:rsidR="001F1DB4">
        <w:rPr>
          <w:rFonts w:cs="Calibri"/>
        </w:rPr>
        <w:t xml:space="preserve">newer </w:t>
      </w:r>
      <w:r w:rsidR="005D1E72">
        <w:rPr>
          <w:rFonts w:cs="Calibri"/>
        </w:rPr>
        <w:t>BRO</w:t>
      </w:r>
      <w:r w:rsidR="001F1DB4">
        <w:rPr>
          <w:rFonts w:cs="Calibri"/>
        </w:rPr>
        <w:t xml:space="preserve"> measures may have </w:t>
      </w:r>
      <w:r w:rsidR="007A2073">
        <w:rPr>
          <w:rFonts w:cs="Calibri"/>
        </w:rPr>
        <w:t xml:space="preserve">high per unit estimates of energy </w:t>
      </w:r>
      <w:r w:rsidR="001F1DB4">
        <w:rPr>
          <w:rFonts w:cs="Calibri"/>
        </w:rPr>
        <w:t>savings potential</w:t>
      </w:r>
      <w:r w:rsidR="00B34C34">
        <w:rPr>
          <w:rFonts w:cs="Calibri"/>
        </w:rPr>
        <w:t xml:space="preserve">, the </w:t>
      </w:r>
      <w:r w:rsidR="001F1DB4">
        <w:rPr>
          <w:rFonts w:cs="Calibri"/>
        </w:rPr>
        <w:t>uncertainties associated with measure savings are</w:t>
      </w:r>
      <w:r w:rsidR="00DC3D85">
        <w:rPr>
          <w:rFonts w:cs="Calibri"/>
        </w:rPr>
        <w:t xml:space="preserve"> high as well</w:t>
      </w:r>
      <w:r w:rsidR="001F1DB4">
        <w:rPr>
          <w:rFonts w:cs="Calibri"/>
        </w:rPr>
        <w:t>.</w:t>
      </w:r>
      <w:r w:rsidR="007A2073">
        <w:rPr>
          <w:rFonts w:cs="Calibri"/>
        </w:rPr>
        <w:t>)</w:t>
      </w:r>
      <w:r w:rsidR="00A1790B">
        <w:rPr>
          <w:rFonts w:cs="Calibri"/>
        </w:rPr>
        <w:t xml:space="preserve"> This can be accomplished by </w:t>
      </w:r>
      <w:r w:rsidR="007A2073">
        <w:rPr>
          <w:rFonts w:cs="Calibri"/>
        </w:rPr>
        <w:t xml:space="preserve">estimating and labeling the </w:t>
      </w:r>
      <w:r w:rsidR="00A1790B">
        <w:rPr>
          <w:rFonts w:cs="Calibri"/>
        </w:rPr>
        <w:t xml:space="preserve">“State of Knowledge” </w:t>
      </w:r>
      <w:r w:rsidR="007A2073">
        <w:rPr>
          <w:rFonts w:cs="Calibri"/>
        </w:rPr>
        <w:t xml:space="preserve">of each measure </w:t>
      </w:r>
      <w:r w:rsidR="00A1790B">
        <w:rPr>
          <w:rFonts w:cs="Calibri"/>
        </w:rPr>
        <w:t>as “High”, “Medium”, “or “Low”.</w:t>
      </w:r>
    </w:p>
    <w:p w:rsidR="00B34C34" w:rsidRPr="00B826AA" w:rsidRDefault="00B826AA" w:rsidP="00B34C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rPr>
          <w:rFonts w:cs="Calibri"/>
          <w:b/>
        </w:rPr>
      </w:pPr>
      <w:r w:rsidRPr="00B826AA">
        <w:rPr>
          <w:rFonts w:cs="Calibri"/>
          <w:b/>
        </w:rPr>
        <w:t xml:space="preserve">Impact of </w:t>
      </w:r>
      <w:r w:rsidR="00A1790B" w:rsidRPr="00B826AA">
        <w:rPr>
          <w:rFonts w:cs="Calibri"/>
          <w:b/>
        </w:rPr>
        <w:t xml:space="preserve">Behavioral Measure </w:t>
      </w:r>
      <w:r w:rsidRPr="00B826AA">
        <w:rPr>
          <w:rFonts w:cs="Calibri"/>
          <w:b/>
        </w:rPr>
        <w:t xml:space="preserve">Market </w:t>
      </w:r>
      <w:r w:rsidR="00A1790B" w:rsidRPr="00B826AA">
        <w:rPr>
          <w:rFonts w:cs="Calibri"/>
          <w:b/>
        </w:rPr>
        <w:t>Penetration</w:t>
      </w:r>
      <w:r w:rsidRPr="00B826AA">
        <w:rPr>
          <w:rFonts w:cs="Calibri"/>
          <w:b/>
        </w:rPr>
        <w:t xml:space="preserve"> on UES</w:t>
      </w:r>
      <w:r>
        <w:rPr>
          <w:rFonts w:cs="Calibri"/>
          <w:b/>
        </w:rPr>
        <w:t xml:space="preserve"> (1)</w:t>
      </w:r>
      <w:r w:rsidR="00A1790B">
        <w:rPr>
          <w:rFonts w:cs="Calibri"/>
        </w:rPr>
        <w:t xml:space="preserve">: The sum of the estimated 2030 </w:t>
      </w:r>
      <w:r w:rsidR="007A2073">
        <w:rPr>
          <w:rFonts w:cs="Calibri"/>
        </w:rPr>
        <w:t xml:space="preserve">measure </w:t>
      </w:r>
      <w:r w:rsidR="00A1790B">
        <w:rPr>
          <w:rFonts w:cs="Calibri"/>
        </w:rPr>
        <w:t xml:space="preserve">penetration </w:t>
      </w:r>
      <w:r w:rsidR="007A2073">
        <w:rPr>
          <w:rFonts w:cs="Calibri"/>
        </w:rPr>
        <w:t>for</w:t>
      </w:r>
      <w:r w:rsidR="00A1790B">
        <w:rPr>
          <w:rFonts w:cs="Calibri"/>
        </w:rPr>
        <w:t xml:space="preserve"> all residential behavioral measures (HERS, Web Real Time Feedback, IHD Real Time Feedback, Small Challenges and Competitions, and Large Challenges and Competitions)</w:t>
      </w:r>
      <w:r w:rsidR="00D54A8C">
        <w:rPr>
          <w:rFonts w:cs="Calibri"/>
        </w:rPr>
        <w:t xml:space="preserve"> for PG&amp;E service territory</w:t>
      </w:r>
      <w:r w:rsidR="00A1790B">
        <w:rPr>
          <w:rFonts w:cs="Calibri"/>
        </w:rPr>
        <w:t xml:space="preserve"> is 93% </w:t>
      </w:r>
      <w:r w:rsidR="00D54A8C">
        <w:rPr>
          <w:rFonts w:cs="Calibri"/>
        </w:rPr>
        <w:t>in the Reference Scenario,</w:t>
      </w:r>
      <w:r w:rsidR="00A1790B">
        <w:rPr>
          <w:rFonts w:cs="Calibri"/>
        </w:rPr>
        <w:t xml:space="preserve"> and 181% </w:t>
      </w:r>
      <w:r w:rsidR="00D54A8C">
        <w:rPr>
          <w:rFonts w:cs="Calibri"/>
        </w:rPr>
        <w:t>in the A</w:t>
      </w:r>
      <w:r w:rsidR="00A1790B">
        <w:rPr>
          <w:rFonts w:cs="Calibri"/>
        </w:rPr>
        <w:t xml:space="preserve">ggressive </w:t>
      </w:r>
      <w:r w:rsidR="00D54A8C">
        <w:rPr>
          <w:rFonts w:cs="Calibri"/>
        </w:rPr>
        <w:t>Scenario</w:t>
      </w:r>
      <w:r w:rsidR="00A1790B">
        <w:rPr>
          <w:rFonts w:cs="Calibri"/>
        </w:rPr>
        <w:t xml:space="preserve">. This implies that the likelihood of the same </w:t>
      </w:r>
      <w:r w:rsidR="00D54A8C">
        <w:rPr>
          <w:rFonts w:cs="Calibri"/>
        </w:rPr>
        <w:t xml:space="preserve">residential customer </w:t>
      </w:r>
      <w:r>
        <w:rPr>
          <w:rFonts w:cs="Calibri"/>
        </w:rPr>
        <w:t>adopting</w:t>
      </w:r>
      <w:r w:rsidR="00A1790B">
        <w:rPr>
          <w:rFonts w:cs="Calibri"/>
        </w:rPr>
        <w:t xml:space="preserve"> multiple behavioral </w:t>
      </w:r>
      <w:r w:rsidR="00A1790B">
        <w:rPr>
          <w:rFonts w:cs="Calibri"/>
        </w:rPr>
        <w:lastRenderedPageBreak/>
        <w:t>measures is high</w:t>
      </w:r>
      <w:r w:rsidR="00B34C34">
        <w:rPr>
          <w:rFonts w:cs="Calibri"/>
        </w:rPr>
        <w:t>.</w:t>
      </w:r>
      <w:r w:rsidR="00A1790B">
        <w:rPr>
          <w:rFonts w:cs="Calibri"/>
        </w:rPr>
        <w:t xml:space="preserve"> </w:t>
      </w:r>
      <w:r w:rsidR="00D54A8C">
        <w:rPr>
          <w:rFonts w:cs="Calibri"/>
        </w:rPr>
        <w:t>This in turn implies that the unit energy savings for out-years may need to be adjusted as those measures compete for similar savings.</w:t>
      </w:r>
    </w:p>
    <w:p w:rsidR="00B826AA" w:rsidRPr="00B34C34" w:rsidRDefault="00B826AA" w:rsidP="00B826AA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before="120" w:after="120"/>
        <w:contextualSpacing w:val="0"/>
        <w:rPr>
          <w:rFonts w:cs="Calibri"/>
          <w:b/>
        </w:rPr>
      </w:pPr>
      <w:r w:rsidRPr="00B826AA">
        <w:rPr>
          <w:rFonts w:cs="Calibri"/>
          <w:b/>
        </w:rPr>
        <w:t>Impact of Behavioral Measure Market Penetration on UES</w:t>
      </w:r>
      <w:r>
        <w:rPr>
          <w:rFonts w:cs="Calibri"/>
          <w:b/>
        </w:rPr>
        <w:t xml:space="preserve"> (2)</w:t>
      </w:r>
      <w:r>
        <w:rPr>
          <w:rFonts w:cs="Calibri"/>
        </w:rPr>
        <w:t xml:space="preserve">: Home Energy Reports </w:t>
      </w:r>
      <w:r w:rsidR="00D54A8C">
        <w:rPr>
          <w:rFonts w:cs="Calibri"/>
        </w:rPr>
        <w:t xml:space="preserve">should </w:t>
      </w:r>
      <w:r>
        <w:rPr>
          <w:rFonts w:cs="Calibri"/>
        </w:rPr>
        <w:t xml:space="preserve">target homes with higher </w:t>
      </w:r>
      <w:r w:rsidR="00D54A8C">
        <w:rPr>
          <w:rFonts w:cs="Calibri"/>
        </w:rPr>
        <w:t xml:space="preserve">energy savings potential (these are generally homes with higher </w:t>
      </w:r>
      <w:r>
        <w:rPr>
          <w:rFonts w:cs="Calibri"/>
        </w:rPr>
        <w:t>than average energy consumption</w:t>
      </w:r>
      <w:r w:rsidR="00D54A8C">
        <w:rPr>
          <w:rFonts w:cs="Calibri"/>
        </w:rPr>
        <w:t>)</w:t>
      </w:r>
      <w:r>
        <w:rPr>
          <w:rFonts w:cs="Calibri"/>
        </w:rPr>
        <w:t xml:space="preserve"> as much as possible. This </w:t>
      </w:r>
      <w:r w:rsidR="00D54A8C">
        <w:rPr>
          <w:rFonts w:cs="Calibri"/>
        </w:rPr>
        <w:t xml:space="preserve">targeting </w:t>
      </w:r>
      <w:r>
        <w:rPr>
          <w:rFonts w:cs="Calibri"/>
        </w:rPr>
        <w:t>gets harder as the program grows in size</w:t>
      </w:r>
      <w:r w:rsidR="00D54A8C">
        <w:rPr>
          <w:rFonts w:cs="Calibri"/>
        </w:rPr>
        <w:t xml:space="preserve"> and most of the customer base participates</w:t>
      </w:r>
      <w:r>
        <w:rPr>
          <w:rFonts w:cs="Calibri"/>
        </w:rPr>
        <w:t xml:space="preserve">. Although the percent savings estimate of Home Energy Report programs </w:t>
      </w:r>
      <w:r w:rsidRPr="00D54A8C">
        <w:rPr>
          <w:rFonts w:cs="Calibri"/>
          <w:i/>
        </w:rPr>
        <w:t>may</w:t>
      </w:r>
      <w:r>
        <w:rPr>
          <w:rFonts w:cs="Calibri"/>
        </w:rPr>
        <w:t xml:space="preserve"> stay constant, the absolute value of per unit energy savings should decrease as market penetration increases. This </w:t>
      </w:r>
      <w:r w:rsidR="00D54A8C">
        <w:rPr>
          <w:rFonts w:cs="Calibri"/>
        </w:rPr>
        <w:t xml:space="preserve">consideration </w:t>
      </w:r>
      <w:r>
        <w:rPr>
          <w:rFonts w:cs="Calibri"/>
        </w:rPr>
        <w:t xml:space="preserve">may be hard to estimate for </w:t>
      </w:r>
      <w:r w:rsidR="00D54A8C">
        <w:rPr>
          <w:rFonts w:cs="Calibri"/>
        </w:rPr>
        <w:t>the 2018</w:t>
      </w:r>
      <w:r>
        <w:rPr>
          <w:rFonts w:cs="Calibri"/>
        </w:rPr>
        <w:t xml:space="preserve"> study, but should be flagged as an issue for future updates.</w:t>
      </w:r>
    </w:p>
    <w:p w:rsidR="00B34C34" w:rsidRPr="00B34C34" w:rsidRDefault="00B826AA" w:rsidP="00B34C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rPr>
          <w:rFonts w:cs="Calibri"/>
          <w:b/>
        </w:rPr>
      </w:pPr>
      <w:r w:rsidRPr="00B826AA">
        <w:rPr>
          <w:rFonts w:cs="Calibri"/>
          <w:b/>
        </w:rPr>
        <w:t>Impact of Behavioral Measure Market Penetration on</w:t>
      </w:r>
      <w:r>
        <w:rPr>
          <w:rFonts w:cs="Calibri"/>
          <w:b/>
        </w:rPr>
        <w:t xml:space="preserve"> Measure Cost</w:t>
      </w:r>
      <w:r>
        <w:rPr>
          <w:rFonts w:cs="Calibri"/>
        </w:rPr>
        <w:t xml:space="preserve">: </w:t>
      </w:r>
      <w:r w:rsidR="00D54A8C">
        <w:rPr>
          <w:rFonts w:cs="Calibri"/>
        </w:rPr>
        <w:t>Costs for Home Energy R</w:t>
      </w:r>
      <w:r w:rsidR="00B34C34">
        <w:rPr>
          <w:rFonts w:cs="Calibri"/>
        </w:rPr>
        <w:t xml:space="preserve">eports (and similar measures) may not scale linearly. Once these programs are operationalized, due to their </w:t>
      </w:r>
      <w:r>
        <w:rPr>
          <w:rFonts w:cs="Calibri"/>
        </w:rPr>
        <w:t xml:space="preserve">automated </w:t>
      </w:r>
      <w:r w:rsidR="00D54A8C">
        <w:rPr>
          <w:rFonts w:cs="Calibri"/>
        </w:rPr>
        <w:t xml:space="preserve">implementation </w:t>
      </w:r>
      <w:r>
        <w:rPr>
          <w:rFonts w:cs="Calibri"/>
        </w:rPr>
        <w:t>nature</w:t>
      </w:r>
      <w:r w:rsidR="00D54A8C">
        <w:rPr>
          <w:rFonts w:cs="Calibri"/>
        </w:rPr>
        <w:t>,</w:t>
      </w:r>
      <w:r>
        <w:rPr>
          <w:rFonts w:cs="Calibri"/>
        </w:rPr>
        <w:t xml:space="preserve"> </w:t>
      </w:r>
      <w:r w:rsidR="00B34C34">
        <w:rPr>
          <w:rFonts w:cs="Calibri"/>
        </w:rPr>
        <w:t xml:space="preserve">the marginal cost for </w:t>
      </w:r>
      <w:r>
        <w:rPr>
          <w:rFonts w:cs="Calibri"/>
        </w:rPr>
        <w:t xml:space="preserve">each additional participant should be </w:t>
      </w:r>
      <w:r w:rsidR="00B34C34">
        <w:rPr>
          <w:rFonts w:cs="Calibri"/>
        </w:rPr>
        <w:t xml:space="preserve">lower than the </w:t>
      </w:r>
      <w:r>
        <w:rPr>
          <w:rFonts w:cs="Calibri"/>
        </w:rPr>
        <w:t>average cost per parti</w:t>
      </w:r>
      <w:r w:rsidR="00D54A8C">
        <w:rPr>
          <w:rFonts w:cs="Calibri"/>
        </w:rPr>
        <w:t>cipant for the whole program.</w:t>
      </w:r>
      <w:r>
        <w:rPr>
          <w:rFonts w:cs="Calibri"/>
        </w:rPr>
        <w:t xml:space="preserve"> </w:t>
      </w:r>
      <w:r w:rsidR="00D54A8C">
        <w:rPr>
          <w:rFonts w:cs="Calibri"/>
        </w:rPr>
        <w:t xml:space="preserve">The </w:t>
      </w:r>
      <w:r>
        <w:rPr>
          <w:rFonts w:cs="Calibri"/>
        </w:rPr>
        <w:t xml:space="preserve">current </w:t>
      </w:r>
      <w:r w:rsidR="00D54A8C">
        <w:rPr>
          <w:rFonts w:cs="Calibri"/>
        </w:rPr>
        <w:t xml:space="preserve">study cost input is the average cost per participant; </w:t>
      </w:r>
      <w:r>
        <w:rPr>
          <w:rFonts w:cs="Calibri"/>
        </w:rPr>
        <w:t xml:space="preserve">which is </w:t>
      </w:r>
      <w:r w:rsidR="00B34C34">
        <w:rPr>
          <w:rFonts w:cs="Calibri"/>
        </w:rPr>
        <w:t xml:space="preserve">total program cost divided by total </w:t>
      </w:r>
      <w:r>
        <w:rPr>
          <w:rFonts w:cs="Calibri"/>
        </w:rPr>
        <w:t xml:space="preserve">number of </w:t>
      </w:r>
      <w:r w:rsidR="00D54A8C">
        <w:rPr>
          <w:rFonts w:cs="Calibri"/>
        </w:rPr>
        <w:t>participants</w:t>
      </w:r>
      <w:r>
        <w:rPr>
          <w:rFonts w:cs="Calibri"/>
        </w:rPr>
        <w:t xml:space="preserve">. </w:t>
      </w:r>
    </w:p>
    <w:p w:rsidR="00CD3362" w:rsidRPr="008F43C6" w:rsidRDefault="00CD3362" w:rsidP="00A44DA6">
      <w:pPr>
        <w:pStyle w:val="ListParagraph"/>
        <w:autoSpaceDE w:val="0"/>
        <w:autoSpaceDN w:val="0"/>
        <w:adjustRightInd w:val="0"/>
        <w:spacing w:before="80" w:after="80"/>
        <w:ind w:left="360"/>
        <w:rPr>
          <w:rFonts w:cs="Calibri"/>
        </w:rPr>
      </w:pPr>
    </w:p>
    <w:p w:rsidR="00B50664" w:rsidRDefault="00B50664" w:rsidP="00933E18">
      <w:pPr>
        <w:autoSpaceDE w:val="0"/>
        <w:autoSpaceDN w:val="0"/>
        <w:adjustRightInd w:val="0"/>
        <w:spacing w:before="120" w:after="80"/>
        <w:ind w:left="-360"/>
        <w:rPr>
          <w:rFonts w:cs="Calibri"/>
          <w:b/>
        </w:rPr>
      </w:pPr>
      <w:r w:rsidRPr="00D32F45">
        <w:rPr>
          <w:rFonts w:cs="Calibri"/>
          <w:b/>
        </w:rPr>
        <w:t>Conclusions</w:t>
      </w:r>
    </w:p>
    <w:p w:rsidR="00B50664" w:rsidRPr="008B5DB6" w:rsidRDefault="000F4339" w:rsidP="008B5DB6">
      <w:pPr>
        <w:autoSpaceDE w:val="0"/>
        <w:autoSpaceDN w:val="0"/>
        <w:adjustRightInd w:val="0"/>
        <w:spacing w:before="80" w:after="80"/>
        <w:ind w:left="-360"/>
        <w:rPr>
          <w:rFonts w:cs="Calibri"/>
        </w:rPr>
      </w:pPr>
      <w:r>
        <w:rPr>
          <w:rFonts w:cs="Calibri"/>
        </w:rPr>
        <w:t>We appreciate the opportunity to comment and thank the CPUC for considering our recommendations.</w:t>
      </w:r>
      <w:r>
        <w:rPr>
          <w:rFonts w:cs="Calibri"/>
        </w:rPr>
        <w:t xml:space="preserve"> </w:t>
      </w:r>
    </w:p>
    <w:sectPr w:rsidR="00B50664" w:rsidRPr="008B5DB6" w:rsidSect="00CD3362">
      <w:footerReference w:type="default" r:id="rId9"/>
      <w:pgSz w:w="12240" w:h="15840"/>
      <w:pgMar w:top="1224" w:right="1440" w:bottom="122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6F9" w:rsidRDefault="009446F9" w:rsidP="00F4351F">
      <w:pPr>
        <w:spacing w:after="0" w:line="240" w:lineRule="auto"/>
      </w:pPr>
      <w:r>
        <w:separator/>
      </w:r>
    </w:p>
  </w:endnote>
  <w:endnote w:type="continuationSeparator" w:id="0">
    <w:p w:rsidR="009446F9" w:rsidRDefault="009446F9" w:rsidP="00F43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664" w:rsidRDefault="008B258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59F1">
      <w:rPr>
        <w:noProof/>
      </w:rPr>
      <w:t>1</w:t>
    </w:r>
    <w:r>
      <w:rPr>
        <w:noProof/>
      </w:rPr>
      <w:fldChar w:fldCharType="end"/>
    </w:r>
  </w:p>
  <w:p w:rsidR="00B50664" w:rsidRDefault="00B506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6F9" w:rsidRDefault="009446F9" w:rsidP="00F4351F">
      <w:pPr>
        <w:spacing w:after="0" w:line="240" w:lineRule="auto"/>
      </w:pPr>
      <w:r>
        <w:separator/>
      </w:r>
    </w:p>
  </w:footnote>
  <w:footnote w:type="continuationSeparator" w:id="0">
    <w:p w:rsidR="009446F9" w:rsidRDefault="009446F9" w:rsidP="00F4351F">
      <w:pPr>
        <w:spacing w:after="0" w:line="240" w:lineRule="auto"/>
      </w:pPr>
      <w:r>
        <w:continuationSeparator/>
      </w:r>
    </w:p>
  </w:footnote>
  <w:footnote w:id="1">
    <w:p w:rsidR="00DC3D85" w:rsidRDefault="00DC3D85">
      <w:pPr>
        <w:pStyle w:val="FootnoteText"/>
      </w:pPr>
      <w:r>
        <w:rPr>
          <w:rStyle w:val="FootnoteReference"/>
        </w:rPr>
        <w:footnoteRef/>
      </w:r>
      <w:r>
        <w:t xml:space="preserve"> Reference No. 174655. “</w:t>
      </w:r>
      <w:r w:rsidRPr="00DC3D85">
        <w:rPr>
          <w:i/>
        </w:rPr>
        <w:t>Energy Efficiency Potential and Goals Study for 2018 and Beyond: Draft BROs Appendix</w:t>
      </w:r>
      <w:r>
        <w:t>”, Prepared for the CPUC by Navigant Consulting (April 17</w:t>
      </w:r>
      <w:r w:rsidRPr="00DC3D85">
        <w:rPr>
          <w:vertAlign w:val="superscript"/>
        </w:rPr>
        <w:t>th</w:t>
      </w:r>
      <w:r>
        <w:t>, 2017)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377"/>
    <w:multiLevelType w:val="hybridMultilevel"/>
    <w:tmpl w:val="35AC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82D"/>
    <w:multiLevelType w:val="hybridMultilevel"/>
    <w:tmpl w:val="043E1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07A25"/>
    <w:multiLevelType w:val="hybridMultilevel"/>
    <w:tmpl w:val="41920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D033CF"/>
    <w:multiLevelType w:val="hybridMultilevel"/>
    <w:tmpl w:val="ACACAD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CA1"/>
    <w:rsid w:val="000276DD"/>
    <w:rsid w:val="00030445"/>
    <w:rsid w:val="00032CC6"/>
    <w:rsid w:val="00035B13"/>
    <w:rsid w:val="00067830"/>
    <w:rsid w:val="000731E2"/>
    <w:rsid w:val="00092A2A"/>
    <w:rsid w:val="000B1C41"/>
    <w:rsid w:val="000C6A02"/>
    <w:rsid w:val="000D0075"/>
    <w:rsid w:val="000D4786"/>
    <w:rsid w:val="000E38DC"/>
    <w:rsid w:val="000F4339"/>
    <w:rsid w:val="00104A6C"/>
    <w:rsid w:val="001070A6"/>
    <w:rsid w:val="00111308"/>
    <w:rsid w:val="00132AAD"/>
    <w:rsid w:val="001A2ABE"/>
    <w:rsid w:val="001B74D6"/>
    <w:rsid w:val="001F1DB4"/>
    <w:rsid w:val="002031CE"/>
    <w:rsid w:val="0024008E"/>
    <w:rsid w:val="00241E7A"/>
    <w:rsid w:val="002B7DFE"/>
    <w:rsid w:val="002D3A1B"/>
    <w:rsid w:val="002F2CA1"/>
    <w:rsid w:val="002F546B"/>
    <w:rsid w:val="00317AB0"/>
    <w:rsid w:val="00350ED3"/>
    <w:rsid w:val="00351E70"/>
    <w:rsid w:val="003722D3"/>
    <w:rsid w:val="003B129A"/>
    <w:rsid w:val="003D2FB4"/>
    <w:rsid w:val="003F019C"/>
    <w:rsid w:val="004155DF"/>
    <w:rsid w:val="004216D0"/>
    <w:rsid w:val="004334C9"/>
    <w:rsid w:val="00440CCE"/>
    <w:rsid w:val="00446ED2"/>
    <w:rsid w:val="0045146F"/>
    <w:rsid w:val="0046192E"/>
    <w:rsid w:val="004677E0"/>
    <w:rsid w:val="00473968"/>
    <w:rsid w:val="004935EF"/>
    <w:rsid w:val="004A3998"/>
    <w:rsid w:val="004B2FF9"/>
    <w:rsid w:val="004B6BBB"/>
    <w:rsid w:val="004F1580"/>
    <w:rsid w:val="005352F7"/>
    <w:rsid w:val="005558FE"/>
    <w:rsid w:val="00583887"/>
    <w:rsid w:val="005D1E72"/>
    <w:rsid w:val="005D5194"/>
    <w:rsid w:val="005D78E7"/>
    <w:rsid w:val="00610DE6"/>
    <w:rsid w:val="00613224"/>
    <w:rsid w:val="00643F8C"/>
    <w:rsid w:val="00674D88"/>
    <w:rsid w:val="00686B32"/>
    <w:rsid w:val="00687AA8"/>
    <w:rsid w:val="006A7616"/>
    <w:rsid w:val="006B29D7"/>
    <w:rsid w:val="006C69BB"/>
    <w:rsid w:val="00705898"/>
    <w:rsid w:val="007177A3"/>
    <w:rsid w:val="00733813"/>
    <w:rsid w:val="00744250"/>
    <w:rsid w:val="00745114"/>
    <w:rsid w:val="00757022"/>
    <w:rsid w:val="00761E79"/>
    <w:rsid w:val="00782F9B"/>
    <w:rsid w:val="007845E7"/>
    <w:rsid w:val="007952FF"/>
    <w:rsid w:val="00795525"/>
    <w:rsid w:val="007A2073"/>
    <w:rsid w:val="007A37DD"/>
    <w:rsid w:val="007F5D47"/>
    <w:rsid w:val="00802CE8"/>
    <w:rsid w:val="0080477A"/>
    <w:rsid w:val="008049F0"/>
    <w:rsid w:val="008B258D"/>
    <w:rsid w:val="008B5DB6"/>
    <w:rsid w:val="008C0960"/>
    <w:rsid w:val="008C7013"/>
    <w:rsid w:val="008F24AC"/>
    <w:rsid w:val="008F43C6"/>
    <w:rsid w:val="008F470E"/>
    <w:rsid w:val="00933E18"/>
    <w:rsid w:val="0093730B"/>
    <w:rsid w:val="009446F9"/>
    <w:rsid w:val="0094667D"/>
    <w:rsid w:val="009564EB"/>
    <w:rsid w:val="00956A3D"/>
    <w:rsid w:val="00965993"/>
    <w:rsid w:val="00973869"/>
    <w:rsid w:val="00974980"/>
    <w:rsid w:val="00983AC5"/>
    <w:rsid w:val="009E0F2A"/>
    <w:rsid w:val="009E52B7"/>
    <w:rsid w:val="009E684E"/>
    <w:rsid w:val="009F007A"/>
    <w:rsid w:val="00A1790B"/>
    <w:rsid w:val="00A44DA6"/>
    <w:rsid w:val="00A44F6E"/>
    <w:rsid w:val="00AB6F4A"/>
    <w:rsid w:val="00AC4DA6"/>
    <w:rsid w:val="00AE425D"/>
    <w:rsid w:val="00B02BA9"/>
    <w:rsid w:val="00B313F2"/>
    <w:rsid w:val="00B34C34"/>
    <w:rsid w:val="00B35C72"/>
    <w:rsid w:val="00B373F1"/>
    <w:rsid w:val="00B46477"/>
    <w:rsid w:val="00B467AF"/>
    <w:rsid w:val="00B50664"/>
    <w:rsid w:val="00B52DDC"/>
    <w:rsid w:val="00B72325"/>
    <w:rsid w:val="00B826AA"/>
    <w:rsid w:val="00B87918"/>
    <w:rsid w:val="00B96608"/>
    <w:rsid w:val="00C01C49"/>
    <w:rsid w:val="00C07934"/>
    <w:rsid w:val="00C14F51"/>
    <w:rsid w:val="00C359F1"/>
    <w:rsid w:val="00C40608"/>
    <w:rsid w:val="00C53649"/>
    <w:rsid w:val="00C676A4"/>
    <w:rsid w:val="00CA34C6"/>
    <w:rsid w:val="00CA5516"/>
    <w:rsid w:val="00CB0AA9"/>
    <w:rsid w:val="00CB17AE"/>
    <w:rsid w:val="00CB2910"/>
    <w:rsid w:val="00CD3362"/>
    <w:rsid w:val="00CF2BC1"/>
    <w:rsid w:val="00D30232"/>
    <w:rsid w:val="00D32F45"/>
    <w:rsid w:val="00D54A8C"/>
    <w:rsid w:val="00D556E9"/>
    <w:rsid w:val="00D803F5"/>
    <w:rsid w:val="00DC3D85"/>
    <w:rsid w:val="00DD4553"/>
    <w:rsid w:val="00DE686C"/>
    <w:rsid w:val="00DE7B5E"/>
    <w:rsid w:val="00E03E74"/>
    <w:rsid w:val="00E5366E"/>
    <w:rsid w:val="00E554E5"/>
    <w:rsid w:val="00E746BC"/>
    <w:rsid w:val="00E869E8"/>
    <w:rsid w:val="00EA10F0"/>
    <w:rsid w:val="00EA2D45"/>
    <w:rsid w:val="00EC598F"/>
    <w:rsid w:val="00EE29D3"/>
    <w:rsid w:val="00EE4380"/>
    <w:rsid w:val="00EE7690"/>
    <w:rsid w:val="00F045E6"/>
    <w:rsid w:val="00F06CD5"/>
    <w:rsid w:val="00F32E31"/>
    <w:rsid w:val="00F4351F"/>
    <w:rsid w:val="00F446DC"/>
    <w:rsid w:val="00F636C2"/>
    <w:rsid w:val="00F636EE"/>
    <w:rsid w:val="00F839C5"/>
    <w:rsid w:val="00F94BCA"/>
    <w:rsid w:val="00FA74F9"/>
    <w:rsid w:val="00FB0627"/>
    <w:rsid w:val="00FE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9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1C4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F435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435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4351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F435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44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4D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93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935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93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935EF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4935E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935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935EF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3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935EF"/>
    <w:rPr>
      <w:rFonts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2F54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2F546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9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1C4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F435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435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4351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F435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44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4D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93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935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93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935EF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4935E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935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935EF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3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935EF"/>
    <w:rPr>
      <w:rFonts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2F54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2F546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5FBDA-6069-4CFC-B4F6-81E2AF86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Comments of the Natural Resources Defense Council (NRDC) on Energy Efficiency Goals, Potential, and Targets Scoping Plan</vt:lpstr>
    </vt:vector>
  </TitlesOfParts>
  <Company>Microsoft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of the Natural Resources Defense Council (NRDC) on Energy Efficiency Goals, Potential, and Targets Scoping Plan</dc:title>
  <dc:creator>Amanda Gonzalez</dc:creator>
  <cp:lastModifiedBy>Chhabra, Mohit</cp:lastModifiedBy>
  <cp:revision>12</cp:revision>
  <cp:lastPrinted>2011-08-11T23:55:00Z</cp:lastPrinted>
  <dcterms:created xsi:type="dcterms:W3CDTF">2017-04-28T21:45:00Z</dcterms:created>
  <dcterms:modified xsi:type="dcterms:W3CDTF">2017-05-01T18:21:00Z</dcterms:modified>
</cp:coreProperties>
</file>